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34DA" w14:textId="29E704C3" w:rsidR="003F451B" w:rsidRPr="003A3CDC" w:rsidRDefault="003F451B" w:rsidP="00CA4E21">
      <w:pPr>
        <w:pStyle w:val="CRCoverPage"/>
        <w:tabs>
          <w:tab w:val="right" w:pos="9639"/>
        </w:tabs>
        <w:spacing w:after="0"/>
        <w:rPr>
          <w:rFonts w:hint="eastAsia"/>
          <w:b/>
          <w:iCs/>
          <w:noProof/>
          <w:sz w:val="24"/>
          <w:szCs w:val="24"/>
          <w:lang w:eastAsia="ja-JP"/>
        </w:rPr>
      </w:pPr>
      <w:bookmarkStart w:id="0" w:name="OLE_LINK3"/>
      <w:r w:rsidRPr="00606EFD">
        <w:rPr>
          <w:b/>
          <w:noProof/>
          <w:sz w:val="24"/>
          <w:szCs w:val="24"/>
        </w:rPr>
        <w:t>3GPP TSG RAN WG1 #11</w:t>
      </w:r>
      <w:r>
        <w:rPr>
          <w:b/>
          <w:noProof/>
          <w:sz w:val="24"/>
          <w:szCs w:val="24"/>
        </w:rPr>
        <w:t>4bis</w:t>
      </w:r>
      <w:r w:rsidRPr="00606EFD">
        <w:rPr>
          <w:b/>
          <w:i/>
          <w:noProof/>
          <w:sz w:val="24"/>
          <w:szCs w:val="24"/>
        </w:rPr>
        <w:tab/>
      </w:r>
      <w:r w:rsidRPr="003A3CDC">
        <w:rPr>
          <w:b/>
          <w:iCs/>
          <w:noProof/>
          <w:sz w:val="24"/>
          <w:szCs w:val="24"/>
        </w:rPr>
        <w:t>R1-23</w:t>
      </w:r>
      <w:r w:rsidR="003A3CDC">
        <w:rPr>
          <w:rFonts w:hint="eastAsia"/>
          <w:b/>
          <w:iCs/>
          <w:noProof/>
          <w:sz w:val="24"/>
          <w:szCs w:val="24"/>
          <w:lang w:eastAsia="ja-JP"/>
        </w:rPr>
        <w:t>1</w:t>
      </w:r>
      <w:r w:rsidR="003A3CDC">
        <w:rPr>
          <w:b/>
          <w:iCs/>
          <w:noProof/>
          <w:sz w:val="24"/>
          <w:szCs w:val="24"/>
          <w:lang w:eastAsia="ja-JP"/>
        </w:rPr>
        <w:t>0021</w:t>
      </w:r>
    </w:p>
    <w:p w14:paraId="33054765" w14:textId="77777777" w:rsidR="003F451B" w:rsidRPr="004C14F2" w:rsidRDefault="003F451B" w:rsidP="003F451B">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Xiamen</w:t>
      </w:r>
      <w:r w:rsidRPr="00F67379">
        <w:rPr>
          <w:rFonts w:ascii="Arial" w:eastAsia="ＭＳ 明朝" w:hAnsi="Arial"/>
          <w:b/>
          <w:noProof/>
          <w:lang w:val="en-US"/>
        </w:rPr>
        <w:t xml:space="preserve">, </w:t>
      </w:r>
      <w:r>
        <w:rPr>
          <w:rFonts w:ascii="Arial" w:eastAsia="ＭＳ 明朝" w:hAnsi="Arial"/>
          <w:b/>
          <w:noProof/>
          <w:lang w:val="en-US"/>
        </w:rPr>
        <w:t>China, October</w:t>
      </w:r>
      <w:r w:rsidRPr="00F67379">
        <w:rPr>
          <w:rFonts w:ascii="Arial" w:eastAsia="ＭＳ 明朝" w:hAnsi="Arial"/>
          <w:b/>
          <w:noProof/>
          <w:lang w:val="en-US"/>
        </w:rPr>
        <w:t xml:space="preserve"> </w:t>
      </w:r>
      <w:r>
        <w:rPr>
          <w:rFonts w:ascii="Arial" w:eastAsia="ＭＳ 明朝" w:hAnsi="Arial"/>
          <w:b/>
          <w:noProof/>
          <w:lang w:val="en-US"/>
        </w:rPr>
        <w:t>9th</w:t>
      </w:r>
      <w:r w:rsidRPr="00F67379">
        <w:rPr>
          <w:rFonts w:ascii="Arial" w:eastAsia="ＭＳ 明朝" w:hAnsi="Arial"/>
          <w:b/>
          <w:noProof/>
          <w:lang w:val="en-US"/>
        </w:rPr>
        <w:t xml:space="preserve"> – </w:t>
      </w:r>
      <w:r>
        <w:rPr>
          <w:rFonts w:ascii="Arial" w:eastAsia="ＭＳ 明朝" w:hAnsi="Arial"/>
          <w:b/>
          <w:noProof/>
          <w:lang w:val="en-US"/>
        </w:rPr>
        <w:t>13</w:t>
      </w:r>
      <w:r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312C0B5"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955D4B">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327A88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955D4B">
              <w:rPr>
                <w:rFonts w:ascii="Arial" w:eastAsiaTheme="minorEastAsia" w:hAnsi="Arial"/>
                <w:b/>
                <w:sz w:val="28"/>
              </w:rPr>
              <w:t>7</w:t>
            </w:r>
            <w:r w:rsidRPr="004C49A9">
              <w:rPr>
                <w:rFonts w:ascii="Arial" w:eastAsia="Malgun Gothic" w:hAnsi="Arial"/>
                <w:b/>
                <w:sz w:val="28"/>
                <w:lang w:eastAsia="en-US"/>
              </w:rPr>
              <w:t>.</w:t>
            </w:r>
            <w:r w:rsidR="00FE3D68">
              <w:rPr>
                <w:rFonts w:ascii="Arial" w:eastAsia="Malgun Gothic" w:hAnsi="Arial"/>
                <w:b/>
                <w:sz w:val="28"/>
                <w:lang w:eastAsia="en-US"/>
              </w:rPr>
              <w:t>7</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EB4F2E6"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3F451B">
              <w:rPr>
                <w:rFonts w:ascii="Arial" w:eastAsia="Malgun Gothic" w:hAnsi="Arial"/>
                <w:color w:val="000000"/>
                <w:sz w:val="20"/>
                <w:lang w:val="en-US" w:eastAsia="en-US"/>
              </w:rPr>
              <w:t xml:space="preserve">determination of </w:t>
            </w:r>
            <w:r w:rsidR="00955D4B" w:rsidRPr="00955D4B">
              <w:rPr>
                <w:rFonts w:ascii="Arial" w:eastAsia="Malgun Gothic" w:hAnsi="Arial"/>
                <w:color w:val="000000"/>
                <w:sz w:val="20"/>
                <w:lang w:val="en-US" w:eastAsia="en-US"/>
              </w:rPr>
              <w:t xml:space="preserve">processing time for </w:t>
            </w:r>
            <w:r w:rsidR="003C0EB9">
              <w:rPr>
                <w:rFonts w:ascii="Arial" w:eastAsia="Malgun Gothic" w:hAnsi="Arial"/>
                <w:color w:val="000000"/>
                <w:sz w:val="20"/>
                <w:lang w:val="en-US" w:eastAsia="en-US"/>
              </w:rPr>
              <w:t xml:space="preserve">MBS </w:t>
            </w:r>
            <w:r w:rsidR="00955D4B" w:rsidRPr="00955D4B">
              <w:rPr>
                <w:rFonts w:ascii="Arial" w:eastAsia="Malgun Gothic" w:hAnsi="Arial"/>
                <w:color w:val="000000"/>
                <w:sz w:val="20"/>
                <w:lang w:val="en-US" w:eastAsia="en-US"/>
              </w:rPr>
              <w:t>PDSCH without feedback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4EC7465" w:rsidR="004C49A9" w:rsidRPr="004C49A9" w:rsidRDefault="00FF70D5" w:rsidP="004C49A9">
            <w:pPr>
              <w:ind w:left="100"/>
              <w:rPr>
                <w:rFonts w:ascii="Arial" w:eastAsia="Malgun Gothic" w:hAnsi="Arial"/>
                <w:noProof/>
                <w:sz w:val="20"/>
                <w:lang w:eastAsia="en-US"/>
              </w:rPr>
            </w:pPr>
            <w:r w:rsidRPr="00FF70D5">
              <w:rPr>
                <w:rFonts w:ascii="Arial" w:eastAsia="Malgun Gothic" w:hAnsi="Arial"/>
                <w:noProof/>
                <w:sz w:val="20"/>
                <w:lang w:eastAsia="zh-CN"/>
              </w:rPr>
              <w:t>NR_MBS-Core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D6C3294"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BB7D62">
              <w:rPr>
                <w:rFonts w:ascii="Arial" w:eastAsia="Malgun Gothic" w:hAnsi="Arial"/>
                <w:sz w:val="20"/>
                <w:lang w:eastAsia="en-US"/>
              </w:rPr>
              <w:t>9</w:t>
            </w:r>
            <w:r w:rsidRPr="008641EA">
              <w:rPr>
                <w:rFonts w:ascii="Arial" w:eastAsia="Malgun Gothic" w:hAnsi="Arial"/>
                <w:sz w:val="20"/>
                <w:lang w:eastAsia="en-US"/>
              </w:rPr>
              <w:t>-</w:t>
            </w:r>
            <w:r w:rsidR="00BB7D62">
              <w:rPr>
                <w:rFonts w:ascii="Arial" w:eastAsia="Malgun Gothic" w:hAnsi="Arial"/>
                <w:sz w:val="20"/>
                <w:lang w:eastAsia="en-US"/>
              </w:rPr>
              <w:t>29</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17B91DA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55D4B">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66B50D97" w14:textId="3FAE8494" w:rsidR="00FE57DA" w:rsidRDefault="008459CD" w:rsidP="00830541">
            <w:pPr>
              <w:rPr>
                <w:rFonts w:ascii="Arial" w:eastAsiaTheme="minorEastAsia" w:hAnsi="Arial"/>
                <w:noProof/>
                <w:sz w:val="20"/>
              </w:rPr>
            </w:pPr>
            <w:r>
              <w:rPr>
                <w:rFonts w:ascii="Arial" w:eastAsiaTheme="minorEastAsia" w:hAnsi="Arial"/>
                <w:noProof/>
                <w:sz w:val="20"/>
              </w:rPr>
              <w:t>In Rel-15/16, it is specified that for a HARQ process, the next PDSCH can be scheduled after</w:t>
            </w:r>
            <w:r w:rsidR="002B7950">
              <w:rPr>
                <w:rFonts w:ascii="Arial" w:eastAsiaTheme="minorEastAsia" w:hAnsi="Arial"/>
                <w:noProof/>
                <w:sz w:val="20"/>
              </w:rPr>
              <w:t xml:space="preserve"> feedback TX timing. Then, Rel-17 NTN introduced feedback</w:t>
            </w:r>
            <w:r w:rsidR="008763BD">
              <w:rPr>
                <w:rFonts w:ascii="Arial" w:eastAsiaTheme="minorEastAsia" w:hAnsi="Arial"/>
                <w:noProof/>
                <w:sz w:val="20"/>
              </w:rPr>
              <w:t>-</w:t>
            </w:r>
            <w:r w:rsidR="002B7950">
              <w:rPr>
                <w:rFonts w:ascii="Arial" w:eastAsiaTheme="minorEastAsia" w:hAnsi="Arial"/>
                <w:noProof/>
                <w:sz w:val="20"/>
              </w:rPr>
              <w:t>disabling feature per HARQ process ID</w:t>
            </w:r>
            <w:r w:rsidR="008763BD">
              <w:rPr>
                <w:rFonts w:ascii="Arial" w:eastAsiaTheme="minorEastAsia" w:hAnsi="Arial"/>
                <w:noProof/>
                <w:sz w:val="20"/>
              </w:rPr>
              <w:t xml:space="preserve"> and Rel-17 MBS introduced feedback-disabling feature per G-RNTI/G-CS-RNTI including possiblity of DCI indication</w:t>
            </w:r>
            <w:r w:rsidR="002B7950">
              <w:rPr>
                <w:rFonts w:ascii="Arial" w:eastAsiaTheme="minorEastAsia" w:hAnsi="Arial"/>
                <w:noProof/>
                <w:sz w:val="20"/>
              </w:rPr>
              <w:t xml:space="preserve">. For </w:t>
            </w:r>
            <w:r w:rsidR="008763BD">
              <w:rPr>
                <w:rFonts w:ascii="Arial" w:eastAsiaTheme="minorEastAsia" w:hAnsi="Arial"/>
                <w:noProof/>
                <w:sz w:val="20"/>
              </w:rPr>
              <w:t>these</w:t>
            </w:r>
            <w:r w:rsidR="002B7950">
              <w:rPr>
                <w:rFonts w:ascii="Arial" w:eastAsiaTheme="minorEastAsia" w:hAnsi="Arial"/>
                <w:noProof/>
                <w:sz w:val="20"/>
              </w:rPr>
              <w:t xml:space="preserve"> feature</w:t>
            </w:r>
            <w:r w:rsidR="008763BD">
              <w:rPr>
                <w:rFonts w:ascii="Arial" w:eastAsiaTheme="minorEastAsia" w:hAnsi="Arial"/>
                <w:noProof/>
                <w:sz w:val="20"/>
              </w:rPr>
              <w:t>s</w:t>
            </w:r>
            <w:r w:rsidR="002B7950">
              <w:rPr>
                <w:rFonts w:ascii="Arial" w:eastAsiaTheme="minorEastAsia" w:hAnsi="Arial"/>
                <w:noProof/>
                <w:sz w:val="20"/>
              </w:rPr>
              <w:t xml:space="preserve">, it is specified that for a HARQ process, the next PDSCH (and corresponding PDCCH) can be scheduled </w:t>
            </w:r>
            <w:r w:rsidR="002B7950" w:rsidRPr="00F61730">
              <w:rPr>
                <w:rFonts w:eastAsia="SimSun"/>
                <w:sz w:val="20"/>
                <w:lang w:eastAsia="x-none"/>
              </w:rPr>
              <w:t>T</w:t>
            </w:r>
            <w:r w:rsidR="002B7950" w:rsidRPr="00F61730">
              <w:rPr>
                <w:rFonts w:eastAsia="SimSun"/>
                <w:sz w:val="20"/>
                <w:vertAlign w:val="subscript"/>
                <w:lang w:eastAsia="x-none"/>
              </w:rPr>
              <w:t>proc,1</w:t>
            </w:r>
            <w:r w:rsidR="002B7950">
              <w:rPr>
                <w:rFonts w:ascii="Arial" w:eastAsiaTheme="minorEastAsia" w:hAnsi="Arial"/>
                <w:noProof/>
                <w:sz w:val="20"/>
              </w:rPr>
              <w:t xml:space="preserve"> </w:t>
            </w:r>
            <w:r w:rsidR="00E37FCA">
              <w:rPr>
                <w:rFonts w:ascii="Arial" w:eastAsiaTheme="minorEastAsia" w:hAnsi="Arial"/>
                <w:noProof/>
                <w:sz w:val="20"/>
              </w:rPr>
              <w:t xml:space="preserve">later than </w:t>
            </w:r>
            <w:r w:rsidR="002B7950">
              <w:rPr>
                <w:rFonts w:ascii="Arial" w:eastAsiaTheme="minorEastAsia" w:hAnsi="Arial"/>
                <w:noProof/>
                <w:sz w:val="20"/>
              </w:rPr>
              <w:t>the last PDSCH with the same HARQ process ID.</w:t>
            </w:r>
            <w:r w:rsidR="008763BD">
              <w:rPr>
                <w:rFonts w:ascii="Arial" w:eastAsiaTheme="minorEastAsia" w:hAnsi="Arial"/>
                <w:noProof/>
                <w:sz w:val="20"/>
              </w:rPr>
              <w:t xml:space="preserve"> Note that it was confirmed at the RAN1#114 meeting that </w:t>
            </w:r>
            <w:r w:rsidR="00EC32E7">
              <w:rPr>
                <w:rFonts w:ascii="Arial" w:eastAsiaTheme="minorEastAsia" w:hAnsi="Arial"/>
                <w:noProof/>
                <w:sz w:val="20"/>
              </w:rPr>
              <w:t>this processing time consideration</w:t>
            </w:r>
            <w:r w:rsidR="00EC32E7">
              <w:rPr>
                <w:rFonts w:eastAsia="SimSun"/>
                <w:sz w:val="20"/>
                <w:vertAlign w:val="subscript"/>
                <w:lang w:eastAsia="x-none"/>
              </w:rPr>
              <w:t xml:space="preserve"> </w:t>
            </w:r>
            <w:r w:rsidR="00EC32E7">
              <w:rPr>
                <w:rFonts w:ascii="Arial" w:eastAsiaTheme="minorEastAsia" w:hAnsi="Arial"/>
                <w:noProof/>
                <w:sz w:val="20"/>
              </w:rPr>
              <w:t>is applied for MBS.</w:t>
            </w:r>
          </w:p>
          <w:tbl>
            <w:tblPr>
              <w:tblStyle w:val="afc"/>
              <w:tblW w:w="0" w:type="auto"/>
              <w:tblLayout w:type="fixed"/>
              <w:tblLook w:val="04A0" w:firstRow="1" w:lastRow="0" w:firstColumn="1" w:lastColumn="0" w:noHBand="0" w:noVBand="1"/>
            </w:tblPr>
            <w:tblGrid>
              <w:gridCol w:w="6852"/>
            </w:tblGrid>
            <w:tr w:rsidR="00EC32E7" w14:paraId="55DBB585" w14:textId="77777777" w:rsidTr="00EC32E7">
              <w:tc>
                <w:tcPr>
                  <w:tcW w:w="6852" w:type="dxa"/>
                </w:tcPr>
                <w:p w14:paraId="6FF645AB" w14:textId="6C8FA9DA" w:rsidR="00EC32E7" w:rsidRDefault="00EC32E7" w:rsidP="00830541">
                  <w:pPr>
                    <w:rPr>
                      <w:rFonts w:ascii="Arial" w:eastAsiaTheme="minorEastAsia" w:hAnsi="Arial"/>
                      <w:noProof/>
                      <w:sz w:val="20"/>
                    </w:rPr>
                  </w:pPr>
                  <w:r w:rsidRPr="00EC32E7">
                    <w:rPr>
                      <w:rFonts w:eastAsia="SimSun"/>
                      <w:sz w:val="20"/>
                      <w:lang w:eastAsia="en-US"/>
                    </w:rPr>
                    <w:t xml:space="preserve">When </w:t>
                  </w:r>
                  <w:r w:rsidRPr="00EC32E7">
                    <w:rPr>
                      <w:rFonts w:eastAsia="DengXian"/>
                      <w:color w:val="000000"/>
                      <w:sz w:val="20"/>
                      <w:lang w:eastAsia="zh-CN"/>
                    </w:rPr>
                    <w:t xml:space="preserve">HARQ feedback for the HARQ process ID is disabled, the UE is not expected to receive another PDCCH carrying a DCI scheduling a PDSCH or set of slot-aggregated PDSCH scheduled for the given HARQ process </w:t>
                  </w:r>
                  <w:r w:rsidRPr="00EC32E7">
                    <w:rPr>
                      <w:rFonts w:eastAsia="DengXian"/>
                      <w:kern w:val="24"/>
                      <w:sz w:val="20"/>
                      <w:lang w:eastAsia="en-US"/>
                    </w:rPr>
                    <w:t>or to receive another PDSCH without corresponding PDCCH for the given HARQ process</w:t>
                  </w:r>
                  <w:r w:rsidRPr="00EC32E7">
                    <w:rPr>
                      <w:rFonts w:eastAsia="DengXian"/>
                      <w:color w:val="000000"/>
                      <w:sz w:val="20"/>
                      <w:lang w:eastAsia="zh-CN"/>
                    </w:rPr>
                    <w:t xml:space="preserve"> that starts until </w:t>
                  </w:r>
                  <w:r w:rsidRPr="00EC32E7">
                    <w:rPr>
                      <w:rFonts w:eastAsia="SimSun"/>
                      <w:sz w:val="20"/>
                      <w:lang w:eastAsia="x-none"/>
                    </w:rPr>
                    <w:t>T</w:t>
                  </w:r>
                  <w:r w:rsidRPr="00EC32E7">
                    <w:rPr>
                      <w:rFonts w:eastAsia="SimSun"/>
                      <w:sz w:val="20"/>
                      <w:vertAlign w:val="subscript"/>
                      <w:lang w:eastAsia="x-none"/>
                    </w:rPr>
                    <w:t>proc,1</w:t>
                  </w:r>
                  <w:r w:rsidRPr="00EC32E7">
                    <w:rPr>
                      <w:rFonts w:eastAsia="SimSun"/>
                      <w:sz w:val="20"/>
                      <w:lang w:eastAsia="x-none"/>
                    </w:rPr>
                    <w:t xml:space="preserve"> </w:t>
                  </w:r>
                  <w:r w:rsidRPr="00EC32E7">
                    <w:rPr>
                      <w:rFonts w:eastAsia="SimSun"/>
                      <w:color w:val="000000"/>
                      <w:sz w:val="20"/>
                      <w:lang w:eastAsia="zh-CN"/>
                    </w:rPr>
                    <w:t>after the end of the reception of the last PDSCH or slot-aggregated PDSCH for that HARQ process.</w:t>
                  </w:r>
                </w:p>
              </w:tc>
            </w:tr>
          </w:tbl>
          <w:p w14:paraId="4D3F52DD" w14:textId="77777777" w:rsidR="00EC32E7" w:rsidRPr="00EC32E7" w:rsidRDefault="00EC32E7" w:rsidP="00830541">
            <w:pPr>
              <w:rPr>
                <w:rFonts w:ascii="Arial" w:eastAsiaTheme="minorEastAsia" w:hAnsi="Arial"/>
                <w:noProof/>
                <w:sz w:val="20"/>
              </w:rPr>
            </w:pPr>
          </w:p>
          <w:p w14:paraId="25CA6AD1" w14:textId="176250C6" w:rsidR="00E37FCA" w:rsidRDefault="00E37FCA"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w:t>
            </w:r>
            <w:r w:rsidR="00A4734E">
              <w:rPr>
                <w:rFonts w:ascii="Arial" w:eastAsiaTheme="minorEastAsia" w:hAnsi="Arial"/>
                <w:noProof/>
                <w:sz w:val="20"/>
              </w:rPr>
              <w:t xml:space="preserve">definition of </w:t>
            </w:r>
            <w:r w:rsidR="00A4734E" w:rsidRPr="00EC32E7">
              <w:rPr>
                <w:rFonts w:eastAsia="SimSun"/>
                <w:sz w:val="20"/>
                <w:lang w:eastAsia="x-none"/>
              </w:rPr>
              <w:t>T</w:t>
            </w:r>
            <w:r w:rsidR="00A4734E" w:rsidRPr="00EC32E7">
              <w:rPr>
                <w:rFonts w:eastAsia="SimSun"/>
                <w:sz w:val="20"/>
                <w:vertAlign w:val="subscript"/>
                <w:lang w:eastAsia="x-none"/>
              </w:rPr>
              <w:t>proc,1</w:t>
            </w:r>
            <w:r w:rsidR="00A4734E">
              <w:rPr>
                <w:rFonts w:ascii="Arial" w:eastAsiaTheme="minorEastAsia" w:hAnsi="Arial"/>
                <w:noProof/>
                <w:sz w:val="20"/>
              </w:rPr>
              <w:t xml:space="preserve"> does not consider the feedback-disabling feature in MBS while the feedback-disabling feature in NTN is considered. Correction to include MBS perspective to determine </w:t>
            </w:r>
            <w:r w:rsidR="00A4734E" w:rsidRPr="00A4734E">
              <w:rPr>
                <w:rFonts w:eastAsia="SimSun"/>
                <w:i/>
                <w:sz w:val="20"/>
                <w:lang w:val="en-AU" w:eastAsia="en-US"/>
              </w:rPr>
              <w:t>µ</w:t>
            </w:r>
            <w:r w:rsidR="00A4734E" w:rsidRPr="00A4734E">
              <w:rPr>
                <w:rFonts w:eastAsia="SimSun"/>
                <w:i/>
                <w:sz w:val="20"/>
                <w:vertAlign w:val="subscript"/>
                <w:lang w:val="en-AU" w:eastAsia="en-US"/>
              </w:rPr>
              <w:t>UL</w:t>
            </w:r>
            <w:r w:rsidR="00A4734E">
              <w:rPr>
                <w:rFonts w:ascii="Arial" w:eastAsiaTheme="minorEastAsia" w:hAnsi="Arial"/>
                <w:noProof/>
                <w:sz w:val="20"/>
              </w:rPr>
              <w:t xml:space="preserve"> is necessary.</w:t>
            </w:r>
          </w:p>
          <w:tbl>
            <w:tblPr>
              <w:tblStyle w:val="afc"/>
              <w:tblW w:w="0" w:type="auto"/>
              <w:tblLayout w:type="fixed"/>
              <w:tblLook w:val="04A0" w:firstRow="1" w:lastRow="0" w:firstColumn="1" w:lastColumn="0" w:noHBand="0" w:noVBand="1"/>
            </w:tblPr>
            <w:tblGrid>
              <w:gridCol w:w="6852"/>
            </w:tblGrid>
            <w:tr w:rsidR="00A4734E" w14:paraId="3F6B7227" w14:textId="77777777" w:rsidTr="00A4734E">
              <w:tc>
                <w:tcPr>
                  <w:tcW w:w="6852" w:type="dxa"/>
                </w:tcPr>
                <w:p w14:paraId="490AD3C8" w14:textId="01ADA4E9" w:rsidR="00A4734E" w:rsidRDefault="00A4734E" w:rsidP="00E37FCA">
                  <w:pPr>
                    <w:rPr>
                      <w:rFonts w:ascii="Arial" w:eastAsiaTheme="minorEastAsia" w:hAnsi="Arial"/>
                      <w:noProof/>
                      <w:sz w:val="20"/>
                    </w:rPr>
                  </w:pPr>
                  <w:r w:rsidRPr="00A4734E">
                    <w:rPr>
                      <w:rFonts w:eastAsia="SimSun"/>
                      <w:i/>
                      <w:sz w:val="20"/>
                      <w:lang w:eastAsia="en-US"/>
                    </w:rPr>
                    <w:t>N</w:t>
                  </w:r>
                  <w:r w:rsidRPr="00A4734E">
                    <w:rPr>
                      <w:rFonts w:eastAsia="SimSun"/>
                      <w:i/>
                      <w:sz w:val="20"/>
                      <w:vertAlign w:val="subscript"/>
                      <w:lang w:eastAsia="en-US"/>
                    </w:rPr>
                    <w:t>1</w:t>
                  </w:r>
                  <w:r w:rsidRPr="00A4734E">
                    <w:rPr>
                      <w:rFonts w:eastAsia="SimSun"/>
                      <w:sz w:val="20"/>
                      <w:lang w:eastAsia="en-US"/>
                    </w:rPr>
                    <w:t xml:space="preserve"> is based on </w:t>
                  </w:r>
                  <w:r w:rsidRPr="00A4734E">
                    <w:rPr>
                      <w:rFonts w:eastAsia="SimSun"/>
                      <w:i/>
                      <w:sz w:val="20"/>
                      <w:lang w:val="en-AU" w:eastAsia="en-US"/>
                    </w:rPr>
                    <w:t>µ</w:t>
                  </w:r>
                  <w:r w:rsidRPr="00A4734E">
                    <w:rPr>
                      <w:rFonts w:eastAsia="SimSun"/>
                      <w:sz w:val="20"/>
                      <w:lang w:val="en-AU" w:eastAsia="en-US"/>
                    </w:rPr>
                    <w:t xml:space="preserve"> of table 5.3-1 and table 5.3-2 for UE processing capability 1 and 2 respectively, where </w:t>
                  </w:r>
                  <w:r w:rsidRPr="00A4734E">
                    <w:rPr>
                      <w:rFonts w:eastAsia="SimSun"/>
                      <w:i/>
                      <w:sz w:val="20"/>
                      <w:lang w:val="en-AU" w:eastAsia="en-US"/>
                    </w:rPr>
                    <w:t xml:space="preserve">µ </w:t>
                  </w:r>
                  <w:r w:rsidRPr="00A4734E">
                    <w:rPr>
                      <w:rFonts w:eastAsia="SimSun"/>
                      <w:sz w:val="20"/>
                      <w:lang w:val="en-AU" w:eastAsia="en-US"/>
                    </w:rPr>
                    <w:t>corresponds to the one of (</w:t>
                  </w:r>
                  <w:r w:rsidRPr="00A4734E">
                    <w:rPr>
                      <w:rFonts w:eastAsia="SimSun"/>
                      <w:i/>
                      <w:sz w:val="20"/>
                      <w:lang w:val="en-AU" w:eastAsia="en-US"/>
                    </w:rPr>
                    <w:t>µ</w:t>
                  </w:r>
                  <w:r w:rsidRPr="00A4734E">
                    <w:rPr>
                      <w:rFonts w:eastAsia="SimSun"/>
                      <w:i/>
                      <w:sz w:val="20"/>
                      <w:vertAlign w:val="subscript"/>
                      <w:lang w:val="en-AU" w:eastAsia="en-US"/>
                    </w:rPr>
                    <w:t>PDCCH</w:t>
                  </w:r>
                  <w:r w:rsidRPr="00A4734E">
                    <w:rPr>
                      <w:rFonts w:eastAsia="SimSun"/>
                      <w:sz w:val="20"/>
                      <w:lang w:val="en-AU" w:eastAsia="en-US"/>
                    </w:rPr>
                    <w:t xml:space="preserve">, </w:t>
                  </w:r>
                  <w:r w:rsidRPr="00A4734E">
                    <w:rPr>
                      <w:rFonts w:eastAsia="SimSun"/>
                      <w:i/>
                      <w:sz w:val="20"/>
                      <w:lang w:val="en-AU" w:eastAsia="en-US"/>
                    </w:rPr>
                    <w:t>µ</w:t>
                  </w:r>
                  <w:r w:rsidRPr="00A4734E">
                    <w:rPr>
                      <w:rFonts w:eastAsia="SimSun"/>
                      <w:i/>
                      <w:sz w:val="20"/>
                      <w:vertAlign w:val="subscript"/>
                      <w:lang w:val="en-AU" w:eastAsia="en-US"/>
                    </w:rPr>
                    <w:t>PDSCH</w:t>
                  </w:r>
                  <w:r w:rsidRPr="00A4734E">
                    <w:rPr>
                      <w:rFonts w:eastAsia="SimSun"/>
                      <w:sz w:val="20"/>
                      <w:lang w:val="en-AU" w:eastAsia="en-US"/>
                    </w:rPr>
                    <w:t xml:space="preserve">, </w:t>
                  </w:r>
                  <w:r w:rsidRPr="00A4734E">
                    <w:rPr>
                      <w:rFonts w:eastAsia="SimSun"/>
                      <w:i/>
                      <w:sz w:val="20"/>
                      <w:lang w:val="en-AU" w:eastAsia="en-US"/>
                    </w:rPr>
                    <w:t>µ</w:t>
                  </w:r>
                  <w:r w:rsidRPr="00A4734E">
                    <w:rPr>
                      <w:rFonts w:eastAsia="SimSun"/>
                      <w:i/>
                      <w:sz w:val="20"/>
                      <w:vertAlign w:val="subscript"/>
                      <w:lang w:val="en-AU" w:eastAsia="en-US"/>
                    </w:rPr>
                    <w:t>UL</w:t>
                  </w:r>
                  <w:r w:rsidRPr="00A4734E">
                    <w:rPr>
                      <w:rFonts w:eastAsia="SimSun"/>
                      <w:sz w:val="20"/>
                      <w:lang w:val="en-AU" w:eastAsia="en-US"/>
                    </w:rPr>
                    <w:t xml:space="preserve">) resulting with the largest </w:t>
                  </w:r>
                  <w:r w:rsidRPr="00A4734E">
                    <w:rPr>
                      <w:rFonts w:eastAsia="SimSun"/>
                      <w:i/>
                      <w:sz w:val="20"/>
                      <w:lang w:val="en-AU" w:eastAsia="en-US"/>
                    </w:rPr>
                    <w:t>T</w:t>
                  </w:r>
                  <w:r w:rsidRPr="00A4734E">
                    <w:rPr>
                      <w:rFonts w:eastAsia="SimSun"/>
                      <w:i/>
                      <w:sz w:val="20"/>
                      <w:vertAlign w:val="subscript"/>
                      <w:lang w:val="en-AU" w:eastAsia="en-US"/>
                    </w:rPr>
                    <w:t>proc,1</w:t>
                  </w:r>
                  <w:r w:rsidRPr="00A4734E">
                    <w:rPr>
                      <w:rFonts w:eastAsia="SimSun"/>
                      <w:sz w:val="20"/>
                      <w:lang w:val="en-AU" w:eastAsia="en-US"/>
                    </w:rPr>
                    <w:t xml:space="preserve">, where the </w:t>
                  </w:r>
                  <w:r w:rsidRPr="00A4734E">
                    <w:rPr>
                      <w:rFonts w:eastAsia="SimSun"/>
                      <w:i/>
                      <w:sz w:val="20"/>
                      <w:lang w:val="en-AU" w:eastAsia="en-US"/>
                    </w:rPr>
                    <w:t>µ</w:t>
                  </w:r>
                  <w:r w:rsidRPr="00A4734E">
                    <w:rPr>
                      <w:rFonts w:eastAsia="SimSun"/>
                      <w:i/>
                      <w:sz w:val="20"/>
                      <w:vertAlign w:val="subscript"/>
                      <w:lang w:val="en-AU" w:eastAsia="en-US"/>
                    </w:rPr>
                    <w:t>PDCCH</w:t>
                  </w:r>
                  <w:r w:rsidRPr="00A4734E">
                    <w:rPr>
                      <w:rFonts w:eastAsia="SimSun"/>
                      <w:i/>
                      <w:sz w:val="20"/>
                      <w:lang w:val="en-AU" w:eastAsia="en-US"/>
                    </w:rPr>
                    <w:t xml:space="preserve"> </w:t>
                  </w:r>
                  <w:r w:rsidRPr="00A4734E">
                    <w:rPr>
                      <w:rFonts w:eastAsia="SimSun"/>
                      <w:sz w:val="20"/>
                      <w:lang w:val="en-AU" w:eastAsia="en-US"/>
                    </w:rPr>
                    <w:t xml:space="preserve">corresponds to the subcarrier spacing of the PDCCH scheduling the PDSCH, the </w:t>
                  </w:r>
                  <w:r w:rsidRPr="00A4734E">
                    <w:rPr>
                      <w:rFonts w:eastAsia="SimSun"/>
                      <w:i/>
                      <w:sz w:val="20"/>
                      <w:lang w:val="en-AU" w:eastAsia="en-US"/>
                    </w:rPr>
                    <w:t>µ</w:t>
                  </w:r>
                  <w:r w:rsidRPr="00A4734E">
                    <w:rPr>
                      <w:rFonts w:eastAsia="SimSun"/>
                      <w:i/>
                      <w:sz w:val="20"/>
                      <w:vertAlign w:val="subscript"/>
                      <w:lang w:val="en-AU" w:eastAsia="en-US"/>
                    </w:rPr>
                    <w:t>PDSCH</w:t>
                  </w:r>
                  <w:r w:rsidRPr="00A4734E">
                    <w:rPr>
                      <w:rFonts w:eastAsia="SimSun"/>
                      <w:sz w:val="20"/>
                      <w:lang w:val="en-AU" w:eastAsia="en-US"/>
                    </w:rPr>
                    <w:t xml:space="preserve"> corresponds to the subcarrier spacing of the scheduled PDSCH, and </w:t>
                  </w:r>
                  <w:r w:rsidRPr="00551801">
                    <w:rPr>
                      <w:rFonts w:eastAsia="SimSun"/>
                      <w:i/>
                      <w:color w:val="0070C0"/>
                      <w:sz w:val="20"/>
                      <w:lang w:val="en-AU" w:eastAsia="en-US"/>
                    </w:rPr>
                    <w:t>µ</w:t>
                  </w:r>
                  <w:r w:rsidRPr="00551801">
                    <w:rPr>
                      <w:rFonts w:eastAsia="SimSun"/>
                      <w:i/>
                      <w:color w:val="0070C0"/>
                      <w:sz w:val="20"/>
                      <w:vertAlign w:val="subscript"/>
                      <w:lang w:val="en-AU" w:eastAsia="en-US"/>
                    </w:rPr>
                    <w:t>UL</w:t>
                  </w:r>
                  <w:r w:rsidRPr="00551801">
                    <w:rPr>
                      <w:rFonts w:eastAsia="SimSun"/>
                      <w:color w:val="0070C0"/>
                      <w:sz w:val="20"/>
                      <w:lang w:val="en-AU" w:eastAsia="en-US"/>
                    </w:rPr>
                    <w:t xml:space="preserve"> corresponds to the subcarrier spacing of the uplink channel with which the HARQ-ACK is </w:t>
                  </w:r>
                  <w:r w:rsidRPr="00551801">
                    <w:rPr>
                      <w:rFonts w:eastAsia="SimSun"/>
                      <w:color w:val="0070C0"/>
                      <w:sz w:val="20"/>
                      <w:lang w:eastAsia="en-US"/>
                    </w:rPr>
                    <w:t xml:space="preserve">assumed </w:t>
                  </w:r>
                  <w:r w:rsidRPr="00551801">
                    <w:rPr>
                      <w:rFonts w:eastAsia="SimSun"/>
                      <w:color w:val="0070C0"/>
                      <w:sz w:val="20"/>
                      <w:lang w:val="en-AU" w:eastAsia="en-US"/>
                    </w:rPr>
                    <w:t>to be transmitted</w:t>
                  </w:r>
                  <w:r w:rsidRPr="00551801">
                    <w:rPr>
                      <w:rFonts w:eastAsia="SimSun"/>
                      <w:color w:val="0070C0"/>
                      <w:sz w:val="20"/>
                      <w:lang w:eastAsia="en-US"/>
                    </w:rPr>
                    <w:t xml:space="preserve"> </w:t>
                  </w:r>
                  <w:r w:rsidRPr="00551801">
                    <w:rPr>
                      <w:rFonts w:ascii="New York" w:eastAsia="SimSun" w:hAnsi="New York"/>
                      <w:color w:val="0070C0"/>
                      <w:kern w:val="2"/>
                      <w:sz w:val="20"/>
                      <w:lang w:eastAsia="en-US"/>
                    </w:rPr>
                    <w:t xml:space="preserve">regardless of whether or not the PDSCH reception provides a transport block for a HARQ process with disabled HARQ-ACK information as indicated </w:t>
                  </w:r>
                  <w:r w:rsidRPr="00D73143">
                    <w:rPr>
                      <w:rFonts w:ascii="New York" w:eastAsia="SimSun" w:hAnsi="New York"/>
                      <w:b/>
                      <w:bCs/>
                      <w:color w:val="0070C0"/>
                      <w:kern w:val="2"/>
                      <w:sz w:val="20"/>
                      <w:lang w:eastAsia="en-US"/>
                    </w:rPr>
                    <w:t xml:space="preserve">by </w:t>
                  </w:r>
                  <w:r w:rsidRPr="00D73143">
                    <w:rPr>
                      <w:rFonts w:ascii="New York" w:eastAsia="SimSun" w:hAnsi="New York"/>
                      <w:b/>
                      <w:bCs/>
                      <w:i/>
                      <w:iCs/>
                      <w:color w:val="0070C0"/>
                      <w:sz w:val="20"/>
                      <w:lang w:eastAsia="en-US"/>
                    </w:rPr>
                    <w:t>HARQ-feedbackEnabling-disablingperHARQprocess</w:t>
                  </w:r>
                  <w:r w:rsidRPr="00D73143">
                    <w:rPr>
                      <w:rFonts w:ascii="New York" w:eastAsia="SimSun" w:hAnsi="New York"/>
                      <w:b/>
                      <w:bCs/>
                      <w:color w:val="0070C0"/>
                      <w:kern w:val="2"/>
                      <w:sz w:val="20"/>
                      <w:lang w:eastAsia="en-US"/>
                    </w:rPr>
                    <w:t>,</w:t>
                  </w:r>
                  <w:r w:rsidRPr="00551801">
                    <w:rPr>
                      <w:rFonts w:ascii="New York" w:eastAsia="SimSun" w:hAnsi="New York"/>
                      <w:color w:val="0070C0"/>
                      <w:kern w:val="2"/>
                      <w:sz w:val="20"/>
                      <w:lang w:eastAsia="en-US"/>
                    </w:rPr>
                    <w:t xml:space="preserve"> if provided</w:t>
                  </w:r>
                  <w:r w:rsidRPr="00551801">
                    <w:rPr>
                      <w:rFonts w:eastAsia="SimSun"/>
                      <w:color w:val="0070C0"/>
                      <w:sz w:val="20"/>
                      <w:lang w:val="en-AU" w:eastAsia="en-US"/>
                    </w:rPr>
                    <w:t>,</w:t>
                  </w:r>
                  <w:r w:rsidRPr="00A4734E">
                    <w:rPr>
                      <w:rFonts w:eastAsia="SimSun"/>
                      <w:sz w:val="20"/>
                      <w:lang w:val="en-AU" w:eastAsia="en-US"/>
                    </w:rPr>
                    <w:t xml:space="preserve"> and κ is defined in clause 4.1 of [4, TS 38.211].</w:t>
                  </w:r>
                </w:p>
              </w:tc>
            </w:tr>
          </w:tbl>
          <w:p w14:paraId="3E421C53" w14:textId="6170A9F1" w:rsidR="00A4734E" w:rsidRPr="00E37FCA" w:rsidRDefault="00A4734E" w:rsidP="00E37FCA">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2A6F7887" w14:textId="187B3990" w:rsidR="0003002D" w:rsidRDefault="0003002D"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 xml:space="preserve">or multicast case,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is not used for determination of </w:t>
            </w:r>
            <w:r w:rsidRPr="00A4734E">
              <w:rPr>
                <w:rFonts w:eastAsia="SimSun"/>
                <w:i/>
                <w:sz w:val="20"/>
                <w:lang w:val="en-AU" w:eastAsia="en-US"/>
              </w:rPr>
              <w:t>µ</w:t>
            </w:r>
            <w:r>
              <w:rPr>
                <w:rFonts w:ascii="Arial" w:eastAsiaTheme="minorEastAsia" w:hAnsi="Arial"/>
                <w:noProof/>
                <w:sz w:val="20"/>
              </w:rPr>
              <w:t xml:space="preserve">. </w:t>
            </w:r>
          </w:p>
          <w:p w14:paraId="27F7284A" w14:textId="21E1EFA1" w:rsidR="00497E14" w:rsidRDefault="0003002D" w:rsidP="004C49A9">
            <w:pPr>
              <w:rPr>
                <w:rFonts w:ascii="Arial" w:eastAsiaTheme="minorEastAsia" w:hAnsi="Arial"/>
                <w:noProof/>
                <w:sz w:val="20"/>
              </w:rPr>
            </w:pPr>
            <w:r>
              <w:rPr>
                <w:rFonts w:ascii="Arial" w:eastAsiaTheme="minorEastAsia" w:hAnsi="Arial"/>
                <w:noProof/>
                <w:sz w:val="20"/>
              </w:rPr>
              <w:t>As specified in TS 38.213 (copied below), for NTN, PRI/slot offset indicator in DCI are used for PUCCH resource/slot determination. Meanwhile, for MBS, these fields are not used for PUCCH resource/slot determination.</w:t>
            </w:r>
            <w:r w:rsidR="00D73143">
              <w:rPr>
                <w:rFonts w:ascii="Arial" w:eastAsiaTheme="minorEastAsia" w:hAnsi="Arial"/>
                <w:noProof/>
                <w:sz w:val="20"/>
              </w:rPr>
              <w:t xml:space="preserve"> That is, these fields are ignored for MBS and thus tentative PUCCH cannot be identified.</w:t>
            </w:r>
            <w:r>
              <w:rPr>
                <w:rFonts w:ascii="Arial" w:eastAsiaTheme="minorEastAsia" w:hAnsi="Arial"/>
                <w:noProof/>
                <w:sz w:val="20"/>
              </w:rPr>
              <w:t xml:space="preserve"> In this sense, it would be reasonable to determine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based on </w:t>
            </w:r>
            <w:r w:rsidRPr="0003002D">
              <w:rPr>
                <w:rFonts w:ascii="Arial" w:eastAsiaTheme="minorEastAsia" w:hAnsi="Arial"/>
                <w:noProof/>
                <w:sz w:val="20"/>
              </w:rPr>
              <w:t>tentative</w:t>
            </w:r>
            <w:r>
              <w:rPr>
                <w:rFonts w:ascii="Arial" w:eastAsiaTheme="minorEastAsia" w:hAnsi="Arial"/>
                <w:noProof/>
                <w:sz w:val="20"/>
              </w:rPr>
              <w:t xml:space="preserve"> PUCCH for NTN but not to use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for MBS due to no tentative PUCCH considered.</w:t>
            </w:r>
          </w:p>
          <w:tbl>
            <w:tblPr>
              <w:tblStyle w:val="afc"/>
              <w:tblW w:w="0" w:type="auto"/>
              <w:tblLayout w:type="fixed"/>
              <w:tblLook w:val="04A0" w:firstRow="1" w:lastRow="0" w:firstColumn="1" w:lastColumn="0" w:noHBand="0" w:noVBand="1"/>
            </w:tblPr>
            <w:tblGrid>
              <w:gridCol w:w="6852"/>
            </w:tblGrid>
            <w:tr w:rsidR="0003002D" w14:paraId="769BD97D" w14:textId="77777777" w:rsidTr="0003002D">
              <w:tc>
                <w:tcPr>
                  <w:tcW w:w="6852" w:type="dxa"/>
                </w:tcPr>
                <w:p w14:paraId="729F4B6E" w14:textId="77777777" w:rsidR="0003002D" w:rsidRPr="0003002D" w:rsidRDefault="0003002D" w:rsidP="0003002D">
                  <w:pPr>
                    <w:rPr>
                      <w:rFonts w:eastAsia="SimSun"/>
                      <w:sz w:val="20"/>
                      <w:lang w:eastAsia="ko-KR"/>
                    </w:rPr>
                  </w:pPr>
                  <w:r w:rsidRPr="0003002D">
                    <w:rPr>
                      <w:rFonts w:eastAsia="SimSun"/>
                      <w:sz w:val="20"/>
                      <w:lang w:eastAsia="ko-KR"/>
                    </w:rPr>
                    <w:t xml:space="preserve">In this clause, for the purpose of determining a PUCCH resource for a PUCCH transmission in a slot using a </w:t>
                  </w:r>
                  <w:r w:rsidRPr="0003002D">
                    <w:rPr>
                      <w:rFonts w:eastAsia="SimSun"/>
                      <w:sz w:val="20"/>
                      <w:lang w:eastAsia="zh-CN"/>
                    </w:rPr>
                    <w:t>PUCCH resource indicator</w:t>
                  </w:r>
                  <w:r w:rsidRPr="0003002D">
                    <w:rPr>
                      <w:rFonts w:eastAsia="SimSun"/>
                      <w:sz w:val="20"/>
                      <w:lang w:eastAsia="en-US"/>
                    </w:rPr>
                    <w:t xml:space="preserve"> field in a DCI format that schedules a PDSCH reception, and for the </w:t>
                  </w:r>
                  <w:r w:rsidRPr="0003002D">
                    <w:rPr>
                      <w:rFonts w:eastAsia="SimSun"/>
                      <w:sz w:val="20"/>
                      <w:lang w:eastAsia="ko-KR"/>
                    </w:rPr>
                    <w:t>purpose of determining the slot for the PUCCH transmission</w:t>
                  </w:r>
                </w:p>
                <w:p w14:paraId="641DAC53" w14:textId="77777777" w:rsidR="0003002D" w:rsidRPr="0003002D" w:rsidRDefault="0003002D" w:rsidP="0003002D">
                  <w:pPr>
                    <w:ind w:left="568" w:hanging="284"/>
                    <w:rPr>
                      <w:rFonts w:eastAsia="SimSun"/>
                      <w:sz w:val="20"/>
                      <w:lang w:val="x-none" w:eastAsia="en-US"/>
                    </w:rPr>
                  </w:pPr>
                  <w:r w:rsidRPr="0003002D">
                    <w:rPr>
                      <w:rFonts w:eastAsia="SimSun"/>
                      <w:sz w:val="20"/>
                      <w:lang w:val="x-none" w:eastAsia="ko-KR"/>
                    </w:rPr>
                    <w:t>-</w:t>
                  </w:r>
                  <w:r w:rsidRPr="0003002D">
                    <w:rPr>
                      <w:rFonts w:eastAsia="SimSun"/>
                      <w:sz w:val="20"/>
                      <w:lang w:val="x-none" w:eastAsia="ko-KR"/>
                    </w:rPr>
                    <w:tab/>
                  </w:r>
                  <w:r w:rsidRPr="0003002D">
                    <w:rPr>
                      <w:rFonts w:eastAsia="SimSun"/>
                      <w:sz w:val="20"/>
                      <w:lang w:val="x-none" w:eastAsia="en-US"/>
                    </w:rPr>
                    <w:t xml:space="preserve">a UE is assumed to generate HARQ-ACK information regardless of whether or not the PDSCH reception provides a transport block for a HARQ process with disabled HARQ-ACK information as indicated by </w:t>
                  </w:r>
                  <w:r w:rsidRPr="0003002D">
                    <w:rPr>
                      <w:rFonts w:eastAsia="SimSun"/>
                      <w:i/>
                      <w:iCs/>
                      <w:sz w:val="20"/>
                      <w:lang w:val="x-none" w:eastAsia="en-US"/>
                    </w:rPr>
                    <w:t>downlinkHARQ-FeedbackDisabled</w:t>
                  </w:r>
                  <w:r w:rsidRPr="0003002D">
                    <w:rPr>
                      <w:rFonts w:eastAsia="SimSun"/>
                      <w:sz w:val="20"/>
                      <w:lang w:val="x-none" w:eastAsia="en-US"/>
                    </w:rPr>
                    <w:t>, if provided</w:t>
                  </w:r>
                </w:p>
                <w:p w14:paraId="71D43FAE" w14:textId="0BA3DF40" w:rsidR="0003002D" w:rsidRPr="0003002D" w:rsidRDefault="0003002D" w:rsidP="0003002D">
                  <w:pPr>
                    <w:ind w:left="568" w:hanging="284"/>
                    <w:rPr>
                      <w:rFonts w:eastAsia="SimSun"/>
                      <w:sz w:val="20"/>
                      <w:lang w:val="en-US" w:eastAsia="en-US"/>
                    </w:rPr>
                  </w:pPr>
                  <w:r w:rsidRPr="0003002D">
                    <w:rPr>
                      <w:rFonts w:eastAsia="SimSun"/>
                      <w:sz w:val="20"/>
                      <w:lang w:val="x-none" w:eastAsia="en-US"/>
                    </w:rPr>
                    <w:t>-</w:t>
                  </w:r>
                  <w:r w:rsidRPr="0003002D">
                    <w:rPr>
                      <w:rFonts w:eastAsia="SimSun"/>
                      <w:sz w:val="20"/>
                      <w:lang w:val="x-none" w:eastAsia="en-US"/>
                    </w:rPr>
                    <w:tab/>
                    <w:t xml:space="preserve">a UE is assumed to </w:t>
                  </w:r>
                  <w:r w:rsidRPr="0003002D">
                    <w:rPr>
                      <w:rFonts w:eastAsia="SimSun"/>
                      <w:sz w:val="20"/>
                      <w:lang w:val="en-US" w:eastAsia="en-US"/>
                    </w:rPr>
                    <w:t xml:space="preserve">not </w:t>
                  </w:r>
                  <w:r w:rsidRPr="0003002D">
                    <w:rPr>
                      <w:rFonts w:eastAsia="SimSun"/>
                      <w:sz w:val="20"/>
                      <w:lang w:val="x-none" w:eastAsia="en-US"/>
                    </w:rPr>
                    <w:t xml:space="preserve">generate HARQ-ACK information </w:t>
                  </w:r>
                  <w:r w:rsidRPr="0003002D">
                    <w:rPr>
                      <w:rFonts w:eastAsia="SimSun"/>
                      <w:sz w:val="20"/>
                      <w:lang w:val="en-US" w:eastAsia="en-US"/>
                    </w:rPr>
                    <w:t>associated with a G-RNTI for multicast or a G-CS-RNTI with disabled HARQ-ACK information as described in clause 18</w:t>
                  </w:r>
                  <w:r w:rsidRPr="0003002D">
                    <w:rPr>
                      <w:rFonts w:eastAsia="SimSun"/>
                      <w:sz w:val="20"/>
                      <w:lang w:val="x-none" w:eastAsia="en-US"/>
                    </w:rPr>
                    <w:t xml:space="preserve">. </w:t>
                  </w:r>
                </w:p>
              </w:tc>
            </w:tr>
          </w:tbl>
          <w:p w14:paraId="78C3E932" w14:textId="4FD15BA6" w:rsidR="0003002D" w:rsidRPr="0003002D" w:rsidRDefault="0003002D" w:rsidP="004C49A9">
            <w:pPr>
              <w:rPr>
                <w:rFonts w:ascii="Arial" w:eastAsiaTheme="minorEastAsia" w:hAnsi="Arial"/>
                <w:noProof/>
                <w:sz w:val="20"/>
              </w:rPr>
            </w:pP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26E91EC" w:rsidR="004C49A9" w:rsidRPr="008D2645" w:rsidRDefault="00441665" w:rsidP="00B5112E">
            <w:pPr>
              <w:rPr>
                <w:rFonts w:ascii="Arial" w:eastAsiaTheme="minorEastAsia" w:hAnsi="Arial"/>
                <w:noProof/>
                <w:sz w:val="20"/>
              </w:rPr>
            </w:pPr>
            <w:r>
              <w:rPr>
                <w:rFonts w:ascii="Arial" w:eastAsiaTheme="minorEastAsia" w:hAnsi="Arial" w:hint="eastAsia"/>
                <w:noProof/>
                <w:sz w:val="20"/>
              </w:rPr>
              <w:t>S</w:t>
            </w:r>
            <w:r>
              <w:rPr>
                <w:rFonts w:ascii="Arial" w:eastAsiaTheme="minorEastAsia" w:hAnsi="Arial"/>
                <w:noProof/>
                <w:sz w:val="20"/>
              </w:rPr>
              <w:t xml:space="preserve">cheduling restriction for MBS PDSCH with respect to PDSCH processing time is </w:t>
            </w:r>
            <w:r w:rsidR="0038201F">
              <w:rPr>
                <w:rFonts w:ascii="Arial" w:eastAsiaTheme="minorEastAsia" w:hAnsi="Arial"/>
                <w:noProof/>
                <w:sz w:val="20"/>
              </w:rPr>
              <w:t>unclear</w:t>
            </w:r>
            <w:r>
              <w:rPr>
                <w:rFonts w:ascii="Arial" w:eastAsiaTheme="minorEastAsia" w:hAnsi="Arial"/>
                <w:noProof/>
                <w:sz w:val="20"/>
              </w:rPr>
              <w:t xml:space="preserve"> and thus gNB may schedule MBS PDSCH at a timing where UE cannot process it.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2C770F88" w:rsidR="004C49A9" w:rsidRPr="004C49A9" w:rsidRDefault="00FF70D5" w:rsidP="00B5112E">
            <w:pPr>
              <w:rPr>
                <w:rFonts w:ascii="Arial" w:eastAsiaTheme="minorEastAsia" w:hAnsi="Arial"/>
                <w:noProof/>
                <w:sz w:val="20"/>
              </w:rPr>
            </w:pPr>
            <w:r>
              <w:rPr>
                <w:rFonts w:ascii="Arial" w:eastAsiaTheme="minorEastAsia" w:hAnsi="Arial"/>
                <w:noProof/>
                <w:sz w:val="20"/>
              </w:rPr>
              <w:t>5.</w:t>
            </w:r>
            <w:r w:rsidR="0038201F">
              <w:rPr>
                <w:rFonts w:ascii="Arial" w:eastAsiaTheme="minorEastAsia" w:hAnsi="Arial"/>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7AA3091" w14:textId="77777777" w:rsidR="00A0073E" w:rsidRPr="00A0073E" w:rsidRDefault="00A0073E" w:rsidP="00A0073E">
      <w:pPr>
        <w:keepNext/>
        <w:keepLines/>
        <w:spacing w:before="180" w:after="180"/>
        <w:ind w:left="1134" w:hanging="1134"/>
        <w:outlineLvl w:val="1"/>
        <w:rPr>
          <w:rFonts w:ascii="Arial" w:eastAsia="SimSun" w:hAnsi="Arial"/>
          <w:color w:val="000000"/>
          <w:sz w:val="32"/>
          <w:lang w:val="x-none" w:eastAsia="en-US"/>
        </w:rP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bookmarkEnd w:id="0"/>
      <w:r w:rsidRPr="00A0073E">
        <w:rPr>
          <w:rFonts w:ascii="Arial" w:eastAsia="SimSun" w:hAnsi="Arial"/>
          <w:color w:val="000000"/>
          <w:sz w:val="32"/>
          <w:lang w:val="x-none" w:eastAsia="en-US"/>
        </w:rPr>
        <w:lastRenderedPageBreak/>
        <w:t>5.3</w:t>
      </w:r>
      <w:r w:rsidRPr="00A0073E">
        <w:rPr>
          <w:rFonts w:ascii="Arial" w:eastAsia="SimSun" w:hAnsi="Arial"/>
          <w:color w:val="000000"/>
          <w:sz w:val="32"/>
          <w:lang w:val="x-none" w:eastAsia="en-US"/>
        </w:rPr>
        <w:tab/>
        <w:t>UE PDSCH processing procedure time</w:t>
      </w:r>
      <w:bookmarkEnd w:id="2"/>
      <w:bookmarkEnd w:id="3"/>
      <w:bookmarkEnd w:id="4"/>
      <w:bookmarkEnd w:id="5"/>
      <w:bookmarkEnd w:id="6"/>
      <w:bookmarkEnd w:id="7"/>
      <w:bookmarkEnd w:id="8"/>
      <w:bookmarkEnd w:id="9"/>
      <w:bookmarkEnd w:id="10"/>
    </w:p>
    <w:p w14:paraId="3520912E" w14:textId="77777777" w:rsidR="00104948" w:rsidRPr="00104948" w:rsidRDefault="00104948" w:rsidP="00104948">
      <w:pPr>
        <w:spacing w:after="180"/>
        <w:rPr>
          <w:rFonts w:eastAsia="SimSun"/>
          <w:color w:val="000000"/>
          <w:sz w:val="20"/>
          <w:lang w:eastAsia="en-US"/>
        </w:rPr>
      </w:pPr>
      <w:r w:rsidRPr="00104948">
        <w:rPr>
          <w:rFonts w:eastAsia="SimSun"/>
          <w:color w:val="000000"/>
          <w:sz w:val="20"/>
          <w:lang w:val="en-AU" w:eastAsia="en-US"/>
        </w:rPr>
        <w:t xml:space="preserve">If the first uplink symbol of the PUCCH which carries the HARQ-ACK information, as defined by the assigned HARQ-ACK timing </w:t>
      </w:r>
      <w:r w:rsidRPr="00104948">
        <w:rPr>
          <w:rFonts w:eastAsia="SimSun"/>
          <w:i/>
          <w:color w:val="000000"/>
          <w:sz w:val="20"/>
          <w:lang w:val="en-AU" w:eastAsia="en-US"/>
        </w:rPr>
        <w:t>K</w:t>
      </w:r>
      <w:r w:rsidRPr="00104948">
        <w:rPr>
          <w:rFonts w:eastAsia="SimSun"/>
          <w:i/>
          <w:color w:val="000000"/>
          <w:sz w:val="20"/>
          <w:vertAlign w:val="subscript"/>
          <w:lang w:val="en-AU" w:eastAsia="en-US"/>
        </w:rPr>
        <w:t xml:space="preserve">1 </w:t>
      </w:r>
      <w:r w:rsidRPr="00104948">
        <w:rPr>
          <w:rFonts w:eastAsia="SimSun"/>
          <w:color w:val="000000"/>
          <w:sz w:val="20"/>
          <w:lang w:val="en-AU" w:eastAsia="en-US"/>
        </w:rPr>
        <w:t>and K</w:t>
      </w:r>
      <w:r w:rsidRPr="00104948">
        <w:rPr>
          <w:rFonts w:eastAsia="SimSun"/>
          <w:color w:val="000000"/>
          <w:sz w:val="20"/>
          <w:vertAlign w:val="subscript"/>
          <w:lang w:val="en-AU" w:eastAsia="en-US"/>
        </w:rPr>
        <w:t>offset</w:t>
      </w:r>
      <w:r w:rsidRPr="00104948">
        <w:rPr>
          <w:rFonts w:eastAsia="SimSun"/>
          <w:color w:val="000000"/>
          <w:sz w:val="20"/>
          <w:lang w:val="en-AU" w:eastAsia="en-US"/>
        </w:rPr>
        <w:t xml:space="preserve">, if configured, and the PUCCH resource to be used and including the effect of the timing advance, starts no earlier than at symbol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where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is defined as the next uplink symbol with its CP starting after </w:t>
      </w:r>
      <w:r w:rsidRPr="00104948">
        <w:rPr>
          <w:rFonts w:ascii="Calibri" w:eastAsia="Calibri" w:hAnsi="Calibri"/>
          <w:position w:val="-12"/>
          <w:sz w:val="22"/>
          <w:szCs w:val="22"/>
          <w:lang w:eastAsia="en-US"/>
        </w:rPr>
        <w:object w:dxaOrig="3855" w:dyaOrig="345" w14:anchorId="69351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15pt;height:16.85pt" o:ole="">
            <v:imagedata r:id="rId11" o:title=""/>
          </v:shape>
          <o:OLEObject Type="Embed" ProgID="Equation.DSMT4" ShapeID="_x0000_i1025" DrawAspect="Content" ObjectID="_1757512512" r:id="rId12"/>
        </w:object>
      </w:r>
      <w:r w:rsidRPr="00104948">
        <w:rPr>
          <w:rFonts w:eastAsia="SimSun"/>
          <w:color w:val="000000"/>
          <w:sz w:val="20"/>
          <w:lang w:eastAsia="en-US"/>
        </w:rPr>
        <w:t xml:space="preserve"> after the end of the last symbol of the PDSCH carrying the TB being acknowledged, then the UE shall provide a valid HARQ-ACK message. </w:t>
      </w:r>
    </w:p>
    <w:p w14:paraId="45C28F3C" w14:textId="573E25DC" w:rsidR="00104948" w:rsidRPr="00104948" w:rsidRDefault="00104948" w:rsidP="00104948">
      <w:pPr>
        <w:spacing w:after="180"/>
        <w:ind w:left="568" w:hanging="284"/>
        <w:rPr>
          <w:rFonts w:eastAsia="SimSun"/>
          <w:sz w:val="20"/>
          <w:lang w:val="en-AU" w:eastAsia="en-US"/>
        </w:rPr>
      </w:pPr>
      <w:r w:rsidRPr="00104948">
        <w:rPr>
          <w:rFonts w:eastAsia="SimSun"/>
          <w:i/>
          <w:sz w:val="20"/>
          <w:lang w:val="x-none" w:eastAsia="en-US"/>
        </w:rPr>
        <w:t>-</w:t>
      </w:r>
      <w:r w:rsidRPr="00104948">
        <w:rPr>
          <w:rFonts w:eastAsia="SimSun"/>
          <w:i/>
          <w:sz w:val="20"/>
          <w:lang w:val="x-none" w:eastAsia="en-US"/>
        </w:rPr>
        <w:tab/>
        <w:t>N</w:t>
      </w:r>
      <w:r w:rsidRPr="00104948">
        <w:rPr>
          <w:rFonts w:eastAsia="SimSun"/>
          <w:i/>
          <w:sz w:val="20"/>
          <w:vertAlign w:val="subscript"/>
          <w:lang w:val="x-none" w:eastAsia="en-US"/>
        </w:rPr>
        <w:t>1</w:t>
      </w:r>
      <w:r w:rsidRPr="00104948">
        <w:rPr>
          <w:rFonts w:eastAsia="SimSun"/>
          <w:sz w:val="20"/>
          <w:lang w:val="x-none" w:eastAsia="en-US"/>
        </w:rPr>
        <w:t xml:space="preserve"> is based on </w:t>
      </w:r>
      <w:r w:rsidRPr="00104948">
        <w:rPr>
          <w:rFonts w:eastAsia="SimSun"/>
          <w:i/>
          <w:sz w:val="20"/>
          <w:lang w:val="en-AU" w:eastAsia="en-US"/>
        </w:rPr>
        <w:t>µ</w:t>
      </w:r>
      <w:r w:rsidRPr="00104948">
        <w:rPr>
          <w:rFonts w:eastAsia="SimSun"/>
          <w:sz w:val="20"/>
          <w:lang w:val="en-AU" w:eastAsia="en-US"/>
        </w:rPr>
        <w:t xml:space="preserve"> of table 5.3-1 and table 5.3-2 for UE processing capability 1 and 2 respectively, where </w:t>
      </w:r>
      <w:r w:rsidRPr="00104948">
        <w:rPr>
          <w:rFonts w:eastAsia="SimSun"/>
          <w:i/>
          <w:sz w:val="20"/>
          <w:lang w:val="en-AU" w:eastAsia="en-US"/>
        </w:rPr>
        <w:t xml:space="preserve">µ </w:t>
      </w:r>
      <w:r w:rsidRPr="00104948">
        <w:rPr>
          <w:rFonts w:eastAsia="SimSun"/>
          <w:sz w:val="20"/>
          <w:lang w:val="en-AU" w:eastAsia="en-US"/>
        </w:rPr>
        <w:t>corresponds to the one of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resulting with the largest </w:t>
      </w:r>
      <w:r w:rsidRPr="00104948">
        <w:rPr>
          <w:rFonts w:eastAsia="SimSun"/>
          <w:i/>
          <w:sz w:val="20"/>
          <w:lang w:val="en-AU" w:eastAsia="en-US"/>
        </w:rPr>
        <w:t>T</w:t>
      </w:r>
      <w:r w:rsidRPr="00104948">
        <w:rPr>
          <w:rFonts w:eastAsia="SimSun"/>
          <w:i/>
          <w:sz w:val="20"/>
          <w:vertAlign w:val="subscript"/>
          <w:lang w:val="en-AU" w:eastAsia="en-US"/>
        </w:rPr>
        <w:t>proc,1</w:t>
      </w:r>
      <w:r w:rsidRPr="00104948">
        <w:rPr>
          <w:rFonts w:eastAsia="SimSun"/>
          <w:sz w:val="20"/>
          <w:lang w:val="en-AU" w:eastAsia="en-US"/>
        </w:rPr>
        <w:t xml:space="preserve">, where the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i/>
          <w:sz w:val="20"/>
          <w:lang w:val="en-AU" w:eastAsia="en-US"/>
        </w:rPr>
        <w:t xml:space="preserve"> </w:t>
      </w:r>
      <w:r w:rsidRPr="00104948">
        <w:rPr>
          <w:rFonts w:eastAsia="SimSun"/>
          <w:sz w:val="20"/>
          <w:lang w:val="en-AU" w:eastAsia="en-US"/>
        </w:rPr>
        <w:t xml:space="preserve">corresponds to the subcarrier spacing of the PDCCH scheduling the PDSCH, the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corresponds to the subcarrier spacing of the scheduled PDSCH, and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corresponds to the subcarrier spacing of the uplink channel with which the HARQ-ACK is </w:t>
      </w:r>
      <w:r w:rsidRPr="00104948">
        <w:rPr>
          <w:rFonts w:eastAsia="SimSun"/>
          <w:sz w:val="20"/>
          <w:lang w:val="x-none" w:eastAsia="en-US"/>
        </w:rPr>
        <w:t xml:space="preserve">assumed </w:t>
      </w:r>
      <w:r w:rsidRPr="00104948">
        <w:rPr>
          <w:rFonts w:eastAsia="SimSun"/>
          <w:sz w:val="20"/>
          <w:lang w:val="en-AU" w:eastAsia="en-US"/>
        </w:rPr>
        <w:t>to be transmitted</w:t>
      </w:r>
      <w:r w:rsidRPr="00104948">
        <w:rPr>
          <w:rFonts w:eastAsia="SimSun"/>
          <w:sz w:val="20"/>
          <w:lang w:val="x-none" w:eastAsia="en-US"/>
        </w:rPr>
        <w:t xml:space="preserve"> </w:t>
      </w:r>
      <w:r w:rsidRPr="00104948">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104948">
        <w:rPr>
          <w:rFonts w:ascii="New York" w:eastAsia="SimSun" w:hAnsi="New York"/>
          <w:i/>
          <w:iCs/>
          <w:sz w:val="20"/>
          <w:lang w:val="x-none" w:eastAsia="en-US"/>
        </w:rPr>
        <w:t>HARQ-feedbackEnabling-disablingperHARQprocess</w:t>
      </w:r>
      <w:r w:rsidRPr="00104948">
        <w:rPr>
          <w:rFonts w:ascii="New York" w:eastAsia="SimSun" w:hAnsi="New York"/>
          <w:kern w:val="2"/>
          <w:sz w:val="20"/>
          <w:lang w:val="x-none" w:eastAsia="en-US"/>
        </w:rPr>
        <w:t>, if provided</w:t>
      </w:r>
      <w:r w:rsidRPr="00104948">
        <w:rPr>
          <w:rFonts w:eastAsia="SimSun"/>
          <w:sz w:val="20"/>
          <w:lang w:val="en-AU" w:eastAsia="en-US"/>
        </w:rPr>
        <w:t>,</w:t>
      </w:r>
      <w:r>
        <w:rPr>
          <w:rFonts w:eastAsia="SimSun"/>
          <w:sz w:val="20"/>
          <w:lang w:val="en-AU" w:eastAsia="en-US"/>
        </w:rPr>
        <w:t xml:space="preserve"> </w:t>
      </w:r>
      <w:r w:rsidRPr="00104948">
        <w:rPr>
          <w:rFonts w:eastAsia="SimSun"/>
          <w:color w:val="FF0000"/>
          <w:sz w:val="20"/>
          <w:u w:val="single"/>
          <w:lang w:val="en-AU" w:eastAsia="en-US"/>
        </w:rPr>
        <w:t xml:space="preserve">or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is ignored if </w:t>
      </w:r>
      <w:r w:rsidRPr="00104948">
        <w:rPr>
          <w:rFonts w:ascii="New York" w:eastAsia="SimSun" w:hAnsi="New York"/>
          <w:color w:val="FF0000"/>
          <w:kern w:val="2"/>
          <w:sz w:val="20"/>
          <w:u w:val="single"/>
          <w:lang w:val="x-none" w:eastAsia="en-US"/>
        </w:rPr>
        <w:t xml:space="preserve">the PDSCH reception is </w:t>
      </w:r>
      <w:r w:rsidRPr="00104948">
        <w:rPr>
          <w:rFonts w:eastAsia="SimSun"/>
          <w:color w:val="FF0000"/>
          <w:sz w:val="20"/>
          <w:u w:val="single"/>
          <w:lang w:val="en-AU" w:eastAsia="en-US"/>
        </w:rPr>
        <w:t>a</w:t>
      </w:r>
      <w:r w:rsidRPr="00FB67D9">
        <w:rPr>
          <w:rFonts w:eastAsia="SimSun"/>
          <w:color w:val="FF0000"/>
          <w:sz w:val="20"/>
          <w:u w:val="single"/>
          <w:lang w:val="en-AU" w:eastAsia="en-US"/>
        </w:rPr>
        <w:t>ssociated with a G-RNTI for multicast or a G-CS-RNTI with disabled HARQ-ACK information</w:t>
      </w:r>
      <w:r>
        <w:rPr>
          <w:rFonts w:eastAsia="SimSun"/>
          <w:color w:val="FF0000"/>
          <w:sz w:val="20"/>
          <w:u w:val="single"/>
          <w:lang w:val="en-AU" w:eastAsia="en-US"/>
        </w:rPr>
        <w:t>,</w:t>
      </w:r>
      <w:r w:rsidRPr="00104948">
        <w:rPr>
          <w:rFonts w:eastAsia="SimSun"/>
          <w:sz w:val="20"/>
          <w:lang w:val="en-AU" w:eastAsia="en-US"/>
        </w:rPr>
        <w:t xml:space="preserve"> and κ is defined in clause 4.1 of [4, TS 38.211]. </w:t>
      </w:r>
    </w:p>
    <w:p w14:paraId="266DA77B" w14:textId="04A8409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C3A35" w14:textId="77777777" w:rsidR="00EC4159" w:rsidRDefault="00EC4159">
      <w:r>
        <w:separator/>
      </w:r>
    </w:p>
  </w:endnote>
  <w:endnote w:type="continuationSeparator" w:id="0">
    <w:p w14:paraId="21AA0C98" w14:textId="77777777" w:rsidR="00EC4159" w:rsidRDefault="00EC4159">
      <w:r>
        <w:continuationSeparator/>
      </w:r>
    </w:p>
  </w:endnote>
  <w:endnote w:type="continuationNotice" w:id="1">
    <w:p w14:paraId="2CED09A4" w14:textId="77777777" w:rsidR="00EC4159" w:rsidRDefault="00EC4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2E3F6" w14:textId="77777777" w:rsidR="00EC4159" w:rsidRDefault="00EC4159">
      <w:r>
        <w:separator/>
      </w:r>
    </w:p>
  </w:footnote>
  <w:footnote w:type="continuationSeparator" w:id="0">
    <w:p w14:paraId="1CD3DA4B" w14:textId="77777777" w:rsidR="00EC4159" w:rsidRDefault="00EC4159">
      <w:r>
        <w:continuationSeparator/>
      </w:r>
    </w:p>
  </w:footnote>
  <w:footnote w:type="continuationNotice" w:id="1">
    <w:p w14:paraId="34CDB653" w14:textId="77777777" w:rsidR="00EC4159" w:rsidRDefault="00EC41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25858</TotalTime>
  <Pages>3</Pages>
  <Words>947</Words>
  <Characters>5403</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1555</cp:revision>
  <cp:lastPrinted>2016-09-21T11:03:00Z</cp:lastPrinted>
  <dcterms:created xsi:type="dcterms:W3CDTF">2019-02-15T07:05:00Z</dcterms:created>
  <dcterms:modified xsi:type="dcterms:W3CDTF">2023-09-29T08:09:00Z</dcterms:modified>
</cp:coreProperties>
</file>